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9955.0" w:type="dxa"/>
        <w:jc w:val="left"/>
        <w:tblInd w:w="67.0" w:type="dxa"/>
        <w:tblLayout w:type="fixed"/>
        <w:tblLook w:val="0000"/>
      </w:tblPr>
      <w:tblGrid>
        <w:gridCol w:w="3123"/>
        <w:gridCol w:w="1644"/>
        <w:gridCol w:w="5188"/>
        <w:tblGridChange w:id="0">
          <w:tblGrid>
            <w:gridCol w:w="3123"/>
            <w:gridCol w:w="1644"/>
            <w:gridCol w:w="5188"/>
          </w:tblGrid>
        </w:tblGridChange>
      </w:tblGrid>
      <w:tr>
        <w:trPr>
          <w:cantSplit w:val="1"/>
          <w:trHeight w:val="510"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ind w:left="289" w:hanging="289"/>
              <w:jc w:val="center"/>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1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1819275</wp:posOffset>
                      </wp:positionH>
                      <wp:positionV relativeFrom="paragraph">
                        <wp:posOffset>53976</wp:posOffset>
                      </wp:positionV>
                      <wp:extent cx="332740" cy="323850"/>
                      <wp:effectExtent b="0" l="0" r="0" t="0"/>
                      <wp:wrapNone/>
                      <wp:docPr id="38"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1819275</wp:posOffset>
                      </wp:positionH>
                      <wp:positionV relativeFrom="paragraph">
                        <wp:posOffset>53976</wp:posOffset>
                      </wp:positionV>
                      <wp:extent cx="332740" cy="323850"/>
                      <wp:effectExtent b="0" l="0" r="0" t="0"/>
                      <wp:wrapNone/>
                      <wp:docPr id="3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332740" cy="3238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5095876</wp:posOffset>
                      </wp:positionH>
                      <wp:positionV relativeFrom="paragraph">
                        <wp:posOffset>53976</wp:posOffset>
                      </wp:positionV>
                      <wp:extent cx="332740" cy="323850"/>
                      <wp:effectExtent b="0" l="0" r="0" t="0"/>
                      <wp:wrapNone/>
                      <wp:docPr id="37"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5095876</wp:posOffset>
                      </wp:positionH>
                      <wp:positionV relativeFrom="paragraph">
                        <wp:posOffset>53976</wp:posOffset>
                      </wp:positionV>
                      <wp:extent cx="332740" cy="323850"/>
                      <wp:effectExtent b="0" l="0" r="0" t="0"/>
                      <wp:wrapNone/>
                      <wp:docPr id="3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332740" cy="32385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0</w:t>
            </w:r>
            <w:r w:rsidDel="00000000" w:rsidR="00000000" w:rsidRPr="00000000">
              <w:rPr>
                <w:rFonts w:ascii="Arial" w:cs="Arial" w:eastAsia="Arial" w:hAnsi="Arial"/>
                <w:sz w:val="24"/>
                <w:szCs w:val="24"/>
                <w:rtl w:val="0"/>
              </w:rPr>
              <w:t xml:space="preserve">2</w:t>
            </w:r>
            <w:r w:rsidDel="00000000" w:rsidR="00000000" w:rsidRPr="00000000">
              <w:rPr>
                <w:rtl w:val="0"/>
              </w:rPr>
            </w:r>
          </w:p>
        </w:tc>
      </w:tr>
      <w:tr>
        <w:trPr>
          <w:cantSplit w:val="1"/>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1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4162.010.26.1.5081</w:t>
            </w:r>
          </w:p>
        </w:tc>
      </w:tr>
      <w:tr>
        <w:trPr>
          <w:cantSplit w:val="0"/>
          <w:trHeight w:val="26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ORIANA MARCELA GARCÍA PEÑA</w:t>
            </w:r>
          </w:p>
        </w:tc>
      </w:tr>
      <w:tr>
        <w:trPr>
          <w:cantSplit w:val="1"/>
          <w:trHeight w:val="32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1.107.072.259</w:t>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w:t>
            </w:r>
            <w:r w:rsidDel="00000000" w:rsidR="00000000" w:rsidRPr="00000000">
              <w:rPr>
                <w:rFonts w:ascii="Arial" w:cs="Arial" w:eastAsia="Arial" w:hAnsi="Arial"/>
                <w:color w:val="000000"/>
                <w:sz w:val="24"/>
                <w:szCs w:val="24"/>
                <w:rtl w:val="0"/>
              </w:rPr>
              <w:t xml:space="preserve">KRYSTHIAN DAVID RAMIREZ MUNEVAR</w:t>
            </w:r>
            <w:r w:rsidDel="00000000" w:rsidR="00000000" w:rsidRPr="00000000">
              <w:rPr>
                <w:rtl w:val="0"/>
              </w:rPr>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0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jc w:val="both"/>
              <w:rPr>
                <w:rFonts w:ascii="Arial" w:cs="Arial" w:eastAsia="Arial" w:hAnsi="Arial"/>
                <w:color w:val="000000"/>
                <w:sz w:val="24"/>
                <w:szCs w:val="24"/>
              </w:rPr>
            </w:pPr>
            <w:r w:rsidDel="00000000" w:rsidR="00000000" w:rsidRPr="00000000">
              <w:rPr>
                <w:rtl w:val="0"/>
              </w:rPr>
            </w:r>
          </w:p>
        </w:tc>
      </w:tr>
      <w:tr>
        <w:trPr>
          <w:cantSplit w:val="0"/>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744"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24/n</w:t>
            </w:r>
            <w:r w:rsidDel="00000000" w:rsidR="00000000" w:rsidRPr="00000000">
              <w:rPr>
                <w:rFonts w:ascii="Arial" w:cs="Arial" w:eastAsia="Arial" w:hAnsi="Arial"/>
                <w:sz w:val="24"/>
                <w:szCs w:val="24"/>
                <w:rtl w:val="0"/>
              </w:rPr>
              <w:t xml:space="preserve">ov</w:t>
            </w:r>
            <w:r w:rsidDel="00000000" w:rsidR="00000000" w:rsidRPr="00000000">
              <w:rPr>
                <w:rFonts w:ascii="Arial" w:cs="Arial" w:eastAsia="Arial" w:hAnsi="Arial"/>
                <w:color w:val="000000"/>
                <w:sz w:val="24"/>
                <w:szCs w:val="24"/>
                <w:rtl w:val="0"/>
              </w:rPr>
              <w:t xml:space="preserve">/2025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720" w:firstLine="0"/>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31</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dic</w:t>
            </w:r>
            <w:r w:rsidDel="00000000" w:rsidR="00000000" w:rsidRPr="00000000">
              <w:rPr>
                <w:rFonts w:ascii="Arial" w:cs="Arial" w:eastAsia="Arial" w:hAnsi="Arial"/>
                <w:color w:val="000000"/>
                <w:sz w:val="24"/>
                <w:szCs w:val="24"/>
                <w:rtl w:val="0"/>
              </w:rPr>
              <w:t xml:space="preserve">/2025</w:t>
            </w:r>
          </w:p>
        </w:tc>
      </w:tr>
      <w:tr>
        <w:trPr>
          <w:cantSplit w:val="0"/>
          <w:trHeight w:val="36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w:t>
            </w:r>
          </w:p>
        </w:tc>
      </w:tr>
      <w:tr>
        <w:trPr>
          <w:cantSplit w:val="0"/>
          <w:trHeight w:val="14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3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36"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tc>
      </w:tr>
      <w:tr>
        <w:trPr>
          <w:cantSplit w:val="0"/>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Es hasta por la suma de: DIEZ MILLONES OCHOCIENTOS NOVENTA MIL PESOS MCTE ($10.890.000)</w:t>
            </w:r>
          </w:p>
        </w:tc>
      </w:tr>
      <w:tr>
        <w:trPr>
          <w:cantSplit w:val="0"/>
          <w:trHeight w:val="37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Adición:</w:t>
            </w:r>
            <w:r w:rsidDel="00000000" w:rsidR="00000000" w:rsidRPr="00000000">
              <w:rPr>
                <w:rtl w:val="0"/>
              </w:rPr>
            </w:r>
          </w:p>
        </w:tc>
      </w:tr>
      <w:tr>
        <w:trPr>
          <w:cantSplit w:val="0"/>
          <w:trHeight w:val="545.976562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w:t>
            </w:r>
          </w:p>
        </w:tc>
      </w:tr>
      <w:tr>
        <w:trPr>
          <w:cantSplit w:val="0"/>
          <w:trHeight w:val="16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 N/A</w:t>
            </w:r>
          </w:p>
        </w:tc>
      </w:tr>
      <w:tr>
        <w:trPr>
          <w:cantSplit w:val="0"/>
          <w:trHeight w:val="1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845.0" w:type="dxa"/>
              <w:jc w:val="left"/>
              <w:tblLayout w:type="fixed"/>
              <w:tblLook w:val="0000"/>
            </w:tblPr>
            <w:tblGrid>
              <w:gridCol w:w="8589"/>
              <w:gridCol w:w="632"/>
              <w:gridCol w:w="624"/>
              <w:tblGridChange w:id="0">
                <w:tblGrid>
                  <w:gridCol w:w="8589"/>
                  <w:gridCol w:w="632"/>
                  <w:gridCol w:w="62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4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numPr>
                      <w:ilvl w:val="0"/>
                      <w:numId w:val="3"/>
                    </w:numPr>
                    <w:pBdr>
                      <w:top w:space="0" w:sz="0" w:val="nil"/>
                      <w:left w:space="0" w:sz="0" w:val="nil"/>
                      <w:bottom w:space="0" w:sz="0" w:val="nil"/>
                      <w:right w:space="0" w:sz="0" w:val="nil"/>
                      <w:between w:space="0" w:sz="0" w:val="nil"/>
                    </w:pBdr>
                    <w:ind w:left="45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67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numPr>
                      <w:ilvl w:val="0"/>
                      <w:numId w:val="3"/>
                    </w:numPr>
                    <w:pBdr>
                      <w:top w:space="0" w:sz="0" w:val="nil"/>
                      <w:left w:space="0" w:sz="0" w:val="nil"/>
                      <w:bottom w:space="0" w:sz="0" w:val="nil"/>
                      <w:right w:space="0" w:sz="0" w:val="nil"/>
                      <w:between w:space="0" w:sz="0" w:val="nil"/>
                    </w:pBdr>
                    <w:ind w:left="459" w:hanging="46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848.0" w:type="dxa"/>
              <w:jc w:val="left"/>
              <w:tblLayout w:type="fixed"/>
              <w:tblLook w:val="0000"/>
            </w:tblPr>
            <w:tblGrid>
              <w:gridCol w:w="2461"/>
              <w:gridCol w:w="2462"/>
              <w:gridCol w:w="2462"/>
              <w:gridCol w:w="2463"/>
              <w:tblGridChange w:id="0">
                <w:tblGrid>
                  <w:gridCol w:w="2461"/>
                  <w:gridCol w:w="2462"/>
                  <w:gridCol w:w="2462"/>
                  <w:gridCol w:w="2463"/>
                </w:tblGrid>
              </w:tblGridChange>
            </w:tblGrid>
            <w:tr>
              <w:trPr>
                <w:cantSplit w:val="0"/>
                <w:trHeight w:val="56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3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$10.890.000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$5.445.000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$5.445.000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38"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tl w:val="0"/>
              </w:rPr>
            </w:r>
          </w:p>
        </w:tc>
      </w:tr>
      <w:tr>
        <w:trPr>
          <w:cantSplit w:val="0"/>
          <w:trHeight w:val="338"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596"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9495600438</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1962739902</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Línea</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28/Nov/2025</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Diciembre de 2025</w:t>
            </w:r>
          </w:p>
        </w:tc>
      </w:tr>
      <w:tr>
        <w:trPr>
          <w:cantSplit w:val="0"/>
          <w:trHeight w:val="37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5">
            <w:pPr>
              <w:jc w:val="both"/>
              <w:rPr>
                <w:rFonts w:ascii="Arial" w:cs="Arial" w:eastAsia="Arial" w:hAnsi="Arial"/>
                <w:color w:val="222222"/>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222222"/>
                <w:sz w:val="24"/>
                <w:szCs w:val="24"/>
                <w:rtl w:val="0"/>
              </w:rPr>
              <w:t xml:space="preserve">N/A </w:t>
            </w:r>
          </w:p>
        </w:tc>
      </w:tr>
      <w:tr>
        <w:trPr>
          <w:cantSplit w:val="0"/>
          <w:trHeight w:val="42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8">
            <w:pPr>
              <w:numPr>
                <w:ilvl w:val="0"/>
                <w:numId w:val="2"/>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TÉCNICO</w:t>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w:t>
            </w:r>
            <w:r w:rsidDel="00000000" w:rsidR="00000000" w:rsidRPr="00000000">
              <w:rPr>
                <w:rFonts w:ascii="Arial" w:cs="Arial" w:eastAsia="Arial" w:hAnsi="Arial"/>
                <w:sz w:val="24"/>
                <w:szCs w:val="24"/>
                <w:rtl w:val="0"/>
              </w:rPr>
              <w:t xml:space="preserve">4162.010.26.1.5081-2025</w:t>
            </w:r>
            <w:r w:rsidDel="00000000" w:rsidR="00000000" w:rsidRPr="00000000">
              <w:rPr>
                <w:rFonts w:ascii="Arial" w:cs="Arial" w:eastAsia="Arial" w:hAnsi="Arial"/>
                <w:color w:val="000000"/>
                <w:sz w:val="24"/>
                <w:szCs w:val="24"/>
                <w:rtl w:val="0"/>
              </w:rPr>
              <w:t xml:space="preserve"> y cuyo objeto es. </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Prestación de servicios profesionales en la </w:t>
            </w:r>
            <w:r w:rsidDel="00000000" w:rsidR="00000000" w:rsidRPr="00000000">
              <w:rPr>
                <w:rFonts w:ascii="Arial" w:cs="Arial" w:eastAsia="Arial" w:hAnsi="Arial"/>
                <w:sz w:val="24"/>
                <w:szCs w:val="24"/>
                <w:highlight w:val="white"/>
                <w:rtl w:val="0"/>
              </w:rPr>
              <w:t xml:space="preserve">secretaría</w:t>
            </w:r>
            <w:r w:rsidDel="00000000" w:rsidR="00000000" w:rsidRPr="00000000">
              <w:rPr>
                <w:rFonts w:ascii="Arial" w:cs="Arial" w:eastAsia="Arial" w:hAnsi="Arial"/>
                <w:color w:val="000000"/>
                <w:sz w:val="24"/>
                <w:szCs w:val="24"/>
                <w:highlight w:val="white"/>
                <w:rtl w:val="0"/>
              </w:rPr>
              <w:t xml:space="preserve"> del Deporte y la Recreación del proyecto denominado Conservación de la infraestructura deportiva y recreativa del distrito especial de Santiago de Cali BP – 26005399</w:t>
            </w:r>
          </w:p>
          <w:p w:rsidR="00000000" w:rsidDel="00000000" w:rsidP="00000000" w:rsidRDefault="00000000" w:rsidRPr="00000000" w14:paraId="0000007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331"/>
              </w:tabs>
              <w:ind w:right="4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1.Organizar las acciones para la definición de los lineamientos estratégicos que promuevan el Desarrollo Institucional de la Secretaría del Deporte y la Recreación en cuanto a las diferentes actividades o eventos, participando en el fortalecimiento de comunidades digitales para ampliar la base de seguidores en redes sociales como: X, Facebook e IG.</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331"/>
              </w:tabs>
              <w:ind w:right="42"/>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realizó durante este periodo la estrategia de fortalecimiento de la comunicación institucional, basada en la planificación anticipada y la generación de contenidos oportunos para los canales digitales de la Secretaría del Deporte. Como parte del plan de acción, efectuó el seguimiento a los proyectos y actividades del área, además de participar en las reuniones programadas para asegurar coherencia, enfoque y alineación con los objetivos de la entidad.</w:t>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Dentro de las acciones desarrolladas, la contratista gestionó la divulgación de la ampliación de la Ciclo Vida a 58 km, organizada por tramos y estructurada según las comunas y barrios de la ciudad. Asimismo, cubrió el evento de certificación de la Vía de Oro, aportando en la planeación del reel difundido en redes sociales, así como en la elaboración de historias y la redacción del copy oficial de la publicación.</w:t>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Estas acciones comunicativas permitieron fortalecer la presencia digital de la Secretaría, visibilizar los avances en infraestructura deportiva y garantizar información clara, precisa y oportuna para la ciudadanía. El enfoque estratégico implementado por la contratista contribuyó a mejorar la interacción con las comunidades y a posicionar los logros institucionales.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Contribuir a la generación de contenido digital orientado a la misionalidad de la Secretaría del Deporte y la Recreación de Santiago de Cali.</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realizó durante este periodo varias acciones orientadas a la generación de contenido digital alineado con la gestión de la Secretaría del Deporte y la Recreación de Santiago de Cali, fortaleciendo la difusión de las actividades y logros institucionales. Produjo historias para la rendición de cuentas y para la certificación de la Vía de Oro, destacando la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ampliación de la Ciclo vida a 58 km como un avance relevante para la movilidad activa y recreativa de la ciudad.</w:t>
            </w:r>
          </w:p>
          <w:p w:rsidR="00000000" w:rsidDel="00000000" w:rsidP="00000000" w:rsidRDefault="00000000" w:rsidRPr="00000000" w14:paraId="0000008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Asimismo, llevó a cabo la grabación del video de invitación a las eliminatorias FIBA rumbo al Mundial Catar 2027 entre Colombia y Venezuela, elaborando también el </w:t>
            </w:r>
            <w:r w:rsidDel="00000000" w:rsidR="00000000" w:rsidRPr="00000000">
              <w:rPr>
                <w:rFonts w:ascii="Arial" w:cs="Arial" w:eastAsia="Arial" w:hAnsi="Arial"/>
                <w:sz w:val="24"/>
                <w:szCs w:val="24"/>
                <w:rtl w:val="0"/>
              </w:rPr>
              <w:t xml:space="preserve">guión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que definió su estructura y narrativa. Estas acciones permitieron consolidar contenidos audiovisuales estratégicos que impulsan la participación ciudadana y visibilizan los eventos y progresos deportivos liderados por la Secretaría.</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Realizar publicaciones en las redes sociales de la Secretaría del Deporte y la Recreación de Santiago de Cali para: informar a la ciudadanía, promover la participación de la comunidad, visibilizar la gestión institucional y fortalecer la imagen de la entidad.</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realizó la elaboración y difusión de la historia correspondiente al anuncio de la rendición de cuentas, fortaleciendo la visibilidad de este ejercicio institucional. Asimismo, produjo y gestionó la publicación del reel del 25 de noviembre, en el cual se evidenció cómo, desde el ámbito deportivo, la Secretaría respalda el Día Internacional de la Eliminación de la Violencia contra las Mujeres. De igual manera, preparó y publicó el reel del primer partido de Colombia frente a Venezuela en las eliminatorias FIBA rumbo al Mundial Catar 2027, garantizando una comunicación oportuna y coherente con la agenda deportiva de la ciudad.</w:t>
            </w:r>
          </w:p>
          <w:p w:rsidR="00000000" w:rsidDel="00000000" w:rsidP="00000000" w:rsidRDefault="00000000" w:rsidRPr="00000000" w14:paraId="0000008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Además, la contratista resaltó el papel protagónico de las mujeres en el deporte, integrando mensajes que reconocen su fortaleza, disciplina y capacidad para destacarse en múltiples disciplinas. Este enfoque buscó visibilizar a las mujeres como ganadoras dentro y fuera del escenario deportivo, promoviendo un mensaje de empoderamiento y equidad que aporta al fortalecimiento de la comunidad y al reconocimiento de sus logros en todos los niveles.</w:t>
            </w:r>
          </w:p>
          <w:p w:rsidR="00000000" w:rsidDel="00000000" w:rsidP="00000000" w:rsidRDefault="00000000" w:rsidRPr="00000000" w14:paraId="0000008F">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Contribuir en la generación de “copies” y publicaciones para piezas gráficas y audiovisuales destinadas a fomentar la interacción de la ciudadanía con la Secretaría a través de las redes sociales.</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298"/>
              </w:tabs>
              <w:spacing w:after="0" w:before="0" w:line="240" w:lineRule="auto"/>
              <w:ind w:left="720" w:right="59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realizó los siguientes copies: el primero, con motivo del 25 de noviembre, Día Internacional para la Eliminación de la Violencia contra la Mujer, en el cual se destacó el compromiso del deporte con la visibilización, la concientización y la promoción de espacios seguros e igualitarios a lo largo del mes.</w:t>
              <w:br w:type="textWrapping"/>
              <w:t xml:space="preserve">Link:</w:t>
            </w: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https://www.instagram.com/reel/DRftlzZjgFM/?igsh=MWkya3dhMTN5NTJucg==</w:t>
              </w:r>
            </w:hyperlink>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98"/>
              </w:tabs>
              <w:spacing w:after="0" w:before="0" w:line="240" w:lineRule="auto"/>
              <w:ind w:left="720" w:right="59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La contratista desarrolló el copy de la invitación al primer partido de las Eliminatorias FIBA rumbo al Mundial Qatar 2027, donde la Selección Colombia se enfrentó a Venezuela a las 8:00 p.m. en el Coliseo Evangelista Mora.</w:t>
            </w:r>
            <w:r w:rsidDel="00000000" w:rsidR="00000000" w:rsidRPr="00000000">
              <w:rPr>
                <w:rFonts w:ascii="Arial" w:cs="Arial" w:eastAsia="Arial" w:hAnsi="Arial"/>
                <w:color w:val="000000"/>
                <w:sz w:val="24"/>
                <w:szCs w:val="24"/>
                <w:rtl w:val="0"/>
              </w:rPr>
              <w:br w:type="textWrapping"/>
              <w:t xml:space="preserve">Link: </w:t>
            </w:r>
            <w:hyperlink r:id="rId9">
              <w:r w:rsidDel="00000000" w:rsidR="00000000" w:rsidRPr="00000000">
                <w:rPr>
                  <w:rFonts w:ascii="Arial" w:cs="Arial" w:eastAsia="Arial" w:hAnsi="Arial"/>
                  <w:color w:val="0000ff"/>
                  <w:sz w:val="24"/>
                  <w:szCs w:val="24"/>
                  <w:u w:val="single"/>
                  <w:rtl w:val="0"/>
                </w:rPr>
                <w:t xml:space="preserve">https://www.instagram.com/reel/DRkeiA2Dgh-/?igsh=dTN3aXNyNDZzM21x</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7">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Finalmente, elaboró el copy correspondiente a la certificación de la Vía de Oro del 30 de noviembre, con el propósito de destacar este reconocimiento como un logro derivado de la gestión del secretario, especialmente en relación con la ampliación de la Ciclo vida a 58 km.</w:t>
            </w:r>
            <w:r w:rsidDel="00000000" w:rsidR="00000000" w:rsidRPr="00000000">
              <w:rPr>
                <w:rFonts w:ascii="Arial" w:cs="Arial" w:eastAsia="Arial" w:hAnsi="Arial"/>
                <w:color w:val="000000"/>
                <w:sz w:val="24"/>
                <w:szCs w:val="24"/>
                <w:rtl w:val="0"/>
              </w:rPr>
              <w:br w:type="textWrapping"/>
              <w:t xml:space="preserve">Link: </w:t>
            </w:r>
            <w:hyperlink r:id="rId10">
              <w:r w:rsidDel="00000000" w:rsidR="00000000" w:rsidRPr="00000000">
                <w:rPr>
                  <w:rFonts w:ascii="Arial" w:cs="Arial" w:eastAsia="Arial" w:hAnsi="Arial"/>
                  <w:color w:val="1155cc"/>
                  <w:sz w:val="24"/>
                  <w:szCs w:val="24"/>
                  <w:u w:val="single"/>
                  <w:rtl w:val="0"/>
                </w:rPr>
                <w:t xml:space="preserve">https://www.instagram.com/reel/DRseogjkQ5X/?igsh=MWtodzF6NTA1aXp5cQ==</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8">
            <w:pPr>
              <w:pBdr>
                <w:top w:space="0" w:sz="0" w:val="nil"/>
                <w:left w:space="0" w:sz="0" w:val="nil"/>
                <w:bottom w:space="0" w:sz="0" w:val="nil"/>
                <w:right w:space="0" w:sz="0" w:val="nil"/>
                <w:between w:space="0" w:sz="0" w:val="nil"/>
              </w:pBdr>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Los textos elaborados por la contratista fueron diseñados con un enfoque estratégico para atraer la atención del público, ofrecer información pertinente y reforzar el mensaje institucional, contribuyendo al fortalecimiento de la presencia digital de la Secretaría.</w:t>
            </w:r>
          </w:p>
          <w:p w:rsidR="00000000" w:rsidDel="00000000" w:rsidP="00000000" w:rsidRDefault="00000000" w:rsidRPr="00000000" w14:paraId="0000009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ind w:right="316"/>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5. </w:t>
            </w:r>
            <w:r w:rsidDel="00000000" w:rsidR="00000000" w:rsidRPr="00000000">
              <w:rPr>
                <w:rFonts w:ascii="Arial" w:cs="Arial" w:eastAsia="Arial" w:hAnsi="Arial"/>
                <w:sz w:val="24"/>
                <w:szCs w:val="24"/>
                <w:rtl w:val="0"/>
              </w:rPr>
              <w:t xml:space="preserve">Asistir en la atención efectiva de consultas y comentarios de la ciudadanía a través de las redes sociales, manteniendo un tono adecuado y proporcionando respuestas oportunas y útiles.</w:t>
            </w:r>
          </w:p>
          <w:p w:rsidR="00000000" w:rsidDel="00000000" w:rsidP="00000000" w:rsidRDefault="00000000" w:rsidRPr="00000000" w14:paraId="0000009C">
            <w:pPr>
              <w:pBdr>
                <w:top w:space="0" w:sz="0" w:val="nil"/>
                <w:left w:space="0" w:sz="0" w:val="nil"/>
                <w:bottom w:space="0" w:sz="0" w:val="nil"/>
                <w:right w:space="0" w:sz="0" w:val="nil"/>
                <w:between w:space="0" w:sz="0" w:val="nil"/>
              </w:pBdr>
              <w:ind w:right="316"/>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ind w:left="720" w:right="316" w:firstLine="0"/>
              <w:jc w:val="both"/>
              <w:rPr>
                <w:rFonts w:ascii="Arial" w:cs="Arial" w:eastAsia="Arial" w:hAnsi="Arial"/>
                <w:b w:val="1"/>
                <w:bCs w:val="1"/>
                <w:sz w:val="24"/>
                <w:szCs w:val="24"/>
              </w:rPr>
            </w:pPr>
            <w:r w:rsidDel="00000000" w:rsidR="00000000" w:rsidRPr="00000000">
              <w:rPr>
                <w:rFonts w:ascii="Arial" w:cs="Arial" w:eastAsia="Arial" w:hAnsi="Arial"/>
                <w:b w:val="0"/>
                <w:bCs w:val="0"/>
                <w:sz w:val="24"/>
                <w:szCs w:val="24"/>
                <w:rtl w:val="0"/>
              </w:rPr>
              <w:t xml:space="preserve">La contratista realizó</w:t>
            </w:r>
            <w:r w:rsidDel="00000000" w:rsidR="00000000" w:rsidRPr="00000000">
              <w:rPr>
                <w:rFonts w:ascii="Arial" w:cs="Arial" w:eastAsia="Arial" w:hAnsi="Arial"/>
                <w:sz w:val="24"/>
                <w:szCs w:val="24"/>
                <w:rtl w:val="0"/>
              </w:rPr>
              <w:t xml:space="preserve"> la respuesta oportuna a las preguntas recibidas por mensajes internos y comentarios en las redes sociales, </w:t>
            </w:r>
            <w:r w:rsidDel="00000000" w:rsidR="00000000" w:rsidRPr="00000000">
              <w:rPr>
                <w:rFonts w:ascii="Arial" w:cs="Arial" w:eastAsia="Arial" w:hAnsi="Arial"/>
                <w:b w:val="0"/>
                <w:bCs w:val="0"/>
                <w:sz w:val="24"/>
                <w:szCs w:val="24"/>
                <w:rtl w:val="0"/>
              </w:rPr>
              <w:t xml:space="preserve">atendiendo</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cada solicitud por orden de llegada y manteniendo plena transparencia en todo el proceso. </w:t>
            </w:r>
            <w:r w:rsidDel="00000000" w:rsidR="00000000" w:rsidRPr="00000000">
              <w:rPr>
                <w:rFonts w:ascii="Arial" w:cs="Arial" w:eastAsia="Arial" w:hAnsi="Arial"/>
                <w:b w:val="0"/>
                <w:bCs w:val="0"/>
                <w:sz w:val="24"/>
                <w:szCs w:val="24"/>
                <w:rtl w:val="0"/>
              </w:rPr>
              <w:t xml:space="preserve">Ofreció</w:t>
            </w:r>
            <w:r w:rsidDel="00000000" w:rsidR="00000000" w:rsidRPr="00000000">
              <w:rPr>
                <w:rFonts w:ascii="Arial" w:cs="Arial" w:eastAsia="Arial" w:hAnsi="Arial"/>
                <w:sz w:val="24"/>
                <w:szCs w:val="24"/>
                <w:rtl w:val="0"/>
              </w:rPr>
              <w:t xml:space="preserve"> respuestas claras, respetuosas y precisas, </w:t>
            </w:r>
            <w:r w:rsidDel="00000000" w:rsidR="00000000" w:rsidRPr="00000000">
              <w:rPr>
                <w:rFonts w:ascii="Arial" w:cs="Arial" w:eastAsia="Arial" w:hAnsi="Arial"/>
                <w:b w:val="0"/>
                <w:bCs w:val="0"/>
                <w:sz w:val="24"/>
                <w:szCs w:val="24"/>
                <w:rtl w:val="0"/>
              </w:rPr>
              <w:t xml:space="preserve">suministrando</w:t>
            </w:r>
            <w:r w:rsidDel="00000000" w:rsidR="00000000" w:rsidRPr="00000000">
              <w:rPr>
                <w:rFonts w:ascii="Arial" w:cs="Arial" w:eastAsia="Arial" w:hAnsi="Arial"/>
                <w:sz w:val="24"/>
                <w:szCs w:val="24"/>
                <w:rtl w:val="0"/>
              </w:rPr>
              <w:t xml:space="preserve"> información acorde a las necesidades de la ciudadanía y </w:t>
            </w:r>
            <w:r w:rsidDel="00000000" w:rsidR="00000000" w:rsidRPr="00000000">
              <w:rPr>
                <w:rFonts w:ascii="Arial" w:cs="Arial" w:eastAsia="Arial" w:hAnsi="Arial"/>
                <w:b w:val="0"/>
                <w:bCs w:val="0"/>
                <w:sz w:val="24"/>
                <w:szCs w:val="24"/>
                <w:rtl w:val="0"/>
              </w:rPr>
              <w:t xml:space="preserve">teniendo en cuenta los temas sobre los cuales se requería orientación</w:t>
            </w:r>
            <w:r w:rsidDel="00000000" w:rsidR="00000000" w:rsidRPr="00000000">
              <w:rPr>
                <w:rFonts w:ascii="Arial" w:cs="Arial" w:eastAsia="Arial" w:hAnsi="Arial"/>
                <w:b w:val="1"/>
                <w:bCs w:val="1"/>
                <w:sz w:val="24"/>
                <w:szCs w:val="24"/>
                <w:rtl w:val="0"/>
              </w:rPr>
              <w:t xml:space="preserve">.</w:t>
            </w:r>
          </w:p>
          <w:p w:rsidR="00000000" w:rsidDel="00000000" w:rsidP="00000000" w:rsidRDefault="00000000" w:rsidRPr="00000000" w14:paraId="0000009E">
            <w:pPr>
              <w:pBdr>
                <w:top w:space="0" w:sz="0" w:val="nil"/>
                <w:left w:space="0" w:sz="0" w:val="nil"/>
                <w:bottom w:space="0" w:sz="0" w:val="nil"/>
                <w:right w:space="0" w:sz="0" w:val="nil"/>
                <w:between w:space="0" w:sz="0" w:val="nil"/>
              </w:pBdr>
              <w:ind w:left="720" w:right="316" w:firstLine="0"/>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ind w:left="720" w:right="316" w:firstLine="0"/>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ind w:left="720" w:right="316" w:firstLine="0"/>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ind w:right="316"/>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6. </w:t>
            </w:r>
            <w:r w:rsidDel="00000000" w:rsidR="00000000" w:rsidRPr="00000000">
              <w:rPr>
                <w:rFonts w:ascii="Arial" w:cs="Arial" w:eastAsia="Arial" w:hAnsi="Arial"/>
                <w:sz w:val="24"/>
                <w:szCs w:val="24"/>
                <w:rtl w:val="0"/>
              </w:rPr>
              <w:t xml:space="preserve">Asistir a las reuniones y consejos de redacción programados por el coordinador del área de comunicaciones de la Secretaría del Deporte y la Recreación de Santiago de Cali.</w:t>
            </w:r>
          </w:p>
          <w:p w:rsidR="00000000" w:rsidDel="00000000" w:rsidP="00000000" w:rsidRDefault="00000000" w:rsidRPr="00000000" w14:paraId="000000A2">
            <w:pPr>
              <w:pBdr>
                <w:top w:space="0" w:sz="0" w:val="nil"/>
                <w:left w:space="0" w:sz="0" w:val="nil"/>
                <w:bottom w:space="0" w:sz="0" w:val="nil"/>
                <w:right w:space="0" w:sz="0" w:val="nil"/>
                <w:between w:space="0" w:sz="0" w:val="nil"/>
              </w:pBdr>
              <w:ind w:right="31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participó en las reuniones convocadas por la líder de comunicaciones, en espacios destinados a revisar los eventos y contenidos previstos para la semana siguiente. Durante estas sesiones, colaboró</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 la definición de roles y responsabilidades del equipo, con el fin de asegurar una organización adecuada y una ejecución eficiente de las actividades programadas.</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jc w:val="both"/>
              <w:rPr/>
            </w:pPr>
            <w:r w:rsidDel="00000000" w:rsidR="00000000" w:rsidRPr="00000000">
              <w:rPr>
                <w:rFonts w:ascii="Arial" w:cs="Arial" w:eastAsia="Arial" w:hAnsi="Arial"/>
                <w:sz w:val="24"/>
                <w:szCs w:val="24"/>
                <w:rtl w:val="0"/>
              </w:rPr>
              <w:t xml:space="preserve">MEDIO DE VERIFICACIÓN LAS EVIDENCIAS DE LO RELACIONADO SE ENCUENTRAN EN EL SIGUIENTE LINK: </w:t>
            </w:r>
            <w:hyperlink r:id="rId11">
              <w:r w:rsidDel="00000000" w:rsidR="00000000" w:rsidRPr="00000000">
                <w:rPr>
                  <w:rFonts w:ascii="Arial" w:cs="Arial" w:eastAsia="Arial" w:hAnsi="Arial"/>
                  <w:color w:val="0000ff"/>
                  <w:sz w:val="24"/>
                  <w:szCs w:val="24"/>
                  <w:u w:val="single"/>
                  <w:rtl w:val="0"/>
                </w:rPr>
                <w:t xml:space="preserve">https://drive.google.com/drive/folders/1DWEytPGGaQnDXZrzkiLBmibL68Ybs8CZ</w:t>
              </w:r>
            </w:hyperlink>
            <w:r w:rsidDel="00000000" w:rsidR="00000000" w:rsidRPr="00000000">
              <w:rPr>
                <w:rtl w:val="0"/>
              </w:rPr>
            </w:r>
          </w:p>
          <w:p w:rsidR="00000000" w:rsidDel="00000000" w:rsidP="00000000" w:rsidRDefault="00000000" w:rsidRPr="00000000" w14:paraId="000000A6">
            <w:pPr>
              <w:jc w:val="both"/>
              <w:rPr>
                <w:rFonts w:ascii="Arial" w:cs="Arial" w:eastAsia="Arial" w:hAnsi="Arial"/>
                <w:sz w:val="24"/>
                <w:szCs w:val="24"/>
                <w:highlight w:val="yellow"/>
              </w:rPr>
            </w:pPr>
            <w:r w:rsidDel="00000000" w:rsidR="00000000" w:rsidRPr="00000000">
              <w:rPr>
                <w:rtl w:val="0"/>
              </w:rPr>
            </w:r>
          </w:p>
        </w:tc>
      </w:tr>
      <w:tr>
        <w:trPr>
          <w:cantSplit w:val="1"/>
          <w:trHeight w:val="3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9">
            <w:pPr>
              <w:pBdr>
                <w:top w:space="0" w:sz="0" w:val="nil"/>
                <w:left w:space="0" w:sz="0" w:val="nil"/>
                <w:bottom w:space="0" w:sz="0" w:val="nil"/>
                <w:right w:space="0" w:sz="0" w:val="nil"/>
                <w:between w:space="0" w:sz="0" w:val="nil"/>
              </w:pBdr>
              <w:ind w:left="72" w:right="1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Con la firma de este informe se deja constancia del recibo a satisfacción por parte de la ALCALDÍA DE SANTIAGO DE CALI- SECRETARÍA DEL DEPORTE Y LA RECREACIÓN de los servicios prestados pactados en el contrato No. 4162.010.26.1.5081 de 2025.</w:t>
            </w:r>
          </w:p>
        </w:tc>
      </w:tr>
      <w:tr>
        <w:trPr>
          <w:cantSplit w:val="1"/>
          <w:trHeight w:val="53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before="130" w:lineRule="auto"/>
              <w:ind w:left="7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before="130" w:lineRule="auto"/>
              <w:ind w:left="72" w:firstLine="0"/>
              <w:rPr>
                <w:color w:val="000000"/>
                <w:sz w:val="24"/>
                <w:szCs w:val="24"/>
              </w:rPr>
            </w:pPr>
            <w:r w:rsidDel="00000000" w:rsidR="00000000" w:rsidRPr="00000000">
              <w:rPr>
                <w:rFonts w:ascii="Arial" w:cs="Arial" w:eastAsia="Arial" w:hAnsi="Arial"/>
                <w:color w:val="000000"/>
                <w:sz w:val="24"/>
                <w:szCs w:val="24"/>
                <w:rtl w:val="0"/>
              </w:rPr>
              <w:t xml:space="preserve">El contratista a la fecha de este informe no tiene a cargo elementos devolutivos de propiedad de la ALCALDÍA DE SANTIAGO DE CALI- SECRETARÍA DEL DEPORTE Y LA RECREACIÓN, que hayan sido entregados por este organismo para el desempeño de sus actividades. Así mismo se encuentra a Paz y Salvo con el archivo de gestión documental y sistema de gestión documental.</w:t>
            </w:r>
            <w:r w:rsidDel="00000000" w:rsidR="00000000" w:rsidRPr="00000000">
              <w:rPr>
                <w:rtl w:val="0"/>
              </w:rPr>
            </w:r>
          </w:p>
        </w:tc>
      </w:tr>
      <w:tr>
        <w:trPr>
          <w:cantSplit w:val="1"/>
          <w:trHeight w:val="3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w:t>
            </w:r>
          </w:p>
          <w:p w:rsidR="00000000" w:rsidDel="00000000" w:rsidP="00000000" w:rsidRDefault="00000000" w:rsidRPr="00000000" w14:paraId="000000B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hace entrega del informe de gestión de </w:t>
            </w:r>
            <w:r w:rsidDel="00000000" w:rsidR="00000000" w:rsidRPr="00000000">
              <w:rPr>
                <w:rFonts w:ascii="Arial" w:cs="Arial" w:eastAsia="Arial" w:hAnsi="Arial"/>
                <w:sz w:val="24"/>
                <w:szCs w:val="24"/>
                <w:rtl w:val="0"/>
              </w:rPr>
              <w:t xml:space="preserve">este</w:t>
            </w:r>
            <w:r w:rsidDel="00000000" w:rsidR="00000000" w:rsidRPr="00000000">
              <w:rPr>
                <w:rFonts w:ascii="Arial" w:cs="Arial" w:eastAsia="Arial" w:hAnsi="Arial"/>
                <w:color w:val="000000"/>
                <w:sz w:val="24"/>
                <w:szCs w:val="24"/>
                <w:rtl w:val="0"/>
              </w:rPr>
              <w:t xml:space="preserve"> contrato y del Backup.</w:t>
            </w:r>
          </w:p>
          <w:p w:rsidR="00000000" w:rsidDel="00000000" w:rsidP="00000000" w:rsidRDefault="00000000" w:rsidRPr="00000000" w14:paraId="000000B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1"/>
          <w:trHeight w:val="264"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5">
            <w:pPr>
              <w:numPr>
                <w:ilvl w:val="0"/>
                <w:numId w:val="2"/>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tc>
      </w:tr>
      <w:tr>
        <w:trPr>
          <w:cantSplit w:val="1"/>
          <w:trHeight w:val="32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8">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w:t>
            </w:r>
            <w:r w:rsidDel="00000000" w:rsidR="00000000" w:rsidRPr="00000000">
              <w:rPr>
                <w:rFonts w:ascii="Arial" w:cs="Arial" w:eastAsia="Arial" w:hAnsi="Arial"/>
                <w:sz w:val="24"/>
                <w:szCs w:val="24"/>
                <w:rtl w:val="0"/>
              </w:rPr>
              <w:t xml:space="preserve">reportan</w:t>
            </w:r>
            <w:r w:rsidDel="00000000" w:rsidR="00000000" w:rsidRPr="00000000">
              <w:rPr>
                <w:rFonts w:ascii="Arial" w:cs="Arial" w:eastAsia="Arial" w:hAnsi="Arial"/>
                <w:color w:val="000000"/>
                <w:sz w:val="24"/>
                <w:szCs w:val="24"/>
                <w:rtl w:val="0"/>
              </w:rPr>
              <w:t xml:space="preserve"> recomendaciones para el presente período.</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tl w:val="0"/>
              </w:rPr>
            </w:r>
          </w:p>
        </w:tc>
      </w:tr>
      <w:tr>
        <w:trPr>
          <w:cantSplit w:val="1"/>
          <w:trHeight w:val="252"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C">
            <w:pPr>
              <w:numPr>
                <w:ilvl w:val="0"/>
                <w:numId w:val="2"/>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tc>
      </w:tr>
      <w:tr>
        <w:trPr>
          <w:cantSplit w:val="1"/>
          <w:trHeight w:val="195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w:t>
            </w:r>
          </w:p>
          <w:p w:rsidR="00000000" w:rsidDel="00000000" w:rsidP="00000000" w:rsidRDefault="00000000" w:rsidRPr="00000000" w14:paraId="000000C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KRYSTHIAN DAVID RAMIREZ MUNEVAR</w:t>
            </w:r>
          </w:p>
          <w:p w:rsidR="00000000" w:rsidDel="00000000" w:rsidP="00000000" w:rsidRDefault="00000000" w:rsidRPr="00000000" w14:paraId="000000C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 </w:t>
            </w:r>
            <w:r w:rsidDel="00000000" w:rsidR="00000000" w:rsidRPr="00000000">
              <w:drawing>
                <wp:anchor allowOverlap="1" behindDoc="1" distB="0" distT="0" distL="0" distR="0" hidden="0" layoutInCell="1" locked="0" relativeHeight="0" simplePos="0">
                  <wp:simplePos x="0" y="0"/>
                  <wp:positionH relativeFrom="column">
                    <wp:posOffset>5523865</wp:posOffset>
                  </wp:positionH>
                  <wp:positionV relativeFrom="paragraph">
                    <wp:posOffset>109220</wp:posOffset>
                  </wp:positionV>
                  <wp:extent cx="659130" cy="419100"/>
                  <wp:effectExtent b="0" l="0" r="0" t="0"/>
                  <wp:wrapNone/>
                  <wp:docPr descr="C:\Users\Deportes\Desktop\CUENTAS COMUNICACIONES\STEPHANIA\Firna.jpg" id="40" name="image2.jpg"/>
                  <a:graphic>
                    <a:graphicData uri="http://schemas.openxmlformats.org/drawingml/2006/picture">
                      <pic:pic>
                        <pic:nvPicPr>
                          <pic:cNvPr descr="C:\Users\Deportes\Desktop\CUENTAS COMUNICACIONES\STEPHANIA\Firna.jpg" id="0" name="image2.jpg"/>
                          <pic:cNvPicPr preferRelativeResize="0"/>
                        </pic:nvPicPr>
                        <pic:blipFill>
                          <a:blip r:embed="rId12"/>
                          <a:srcRect b="0" l="0" r="0" t="0"/>
                          <a:stretch>
                            <a:fillRect/>
                          </a:stretch>
                        </pic:blipFill>
                        <pic:spPr>
                          <a:xfrm>
                            <a:off x="0" y="0"/>
                            <a:ext cx="659130" cy="419100"/>
                          </a:xfrm>
                          <a:prstGeom prst="rect"/>
                          <a:ln/>
                        </pic:spPr>
                      </pic:pic>
                    </a:graphicData>
                  </a:graphic>
                </wp:anchor>
              </w:drawing>
            </w:r>
          </w:p>
        </w:tc>
      </w:tr>
      <w:tr>
        <w:trPr>
          <w:cantSplit w:val="1"/>
          <w:trHeight w:val="46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Santiago De Cali, </w:t>
            </w:r>
            <w:r w:rsidDel="00000000" w:rsidR="00000000" w:rsidRPr="00000000">
              <w:rPr>
                <w:rFonts w:ascii="Arial" w:cs="Arial" w:eastAsia="Arial" w:hAnsi="Arial"/>
                <w:sz w:val="24"/>
                <w:szCs w:val="24"/>
                <w:rtl w:val="0"/>
              </w:rPr>
              <w:t xml:space="preserve">19</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dic</w:t>
            </w:r>
            <w:r w:rsidDel="00000000" w:rsidR="00000000" w:rsidRPr="00000000">
              <w:rPr>
                <w:rFonts w:ascii="Arial" w:cs="Arial" w:eastAsia="Arial" w:hAnsi="Arial"/>
                <w:color w:val="000000"/>
                <w:sz w:val="24"/>
                <w:szCs w:val="24"/>
                <w:rtl w:val="0"/>
              </w:rPr>
              <w:t xml:space="preserve">/2025</w:t>
            </w:r>
          </w:p>
        </w:tc>
      </w:tr>
    </w:tbl>
    <w:p w:rsidR="00000000" w:rsidDel="00000000" w:rsidP="00000000" w:rsidRDefault="00000000" w:rsidRPr="00000000" w14:paraId="000000C9">
      <w:pPr>
        <w:rPr>
          <w:rFonts w:ascii="Arial" w:cs="Arial" w:eastAsia="Arial" w:hAnsi="Arial"/>
          <w:sz w:val="24"/>
          <w:szCs w:val="24"/>
        </w:rPr>
      </w:pPr>
      <w:r w:rsidDel="00000000" w:rsidR="00000000" w:rsidRPr="00000000">
        <w:rPr>
          <w:rtl w:val="0"/>
        </w:rPr>
      </w:r>
    </w:p>
    <w:sectPr>
      <w:headerReference r:id="rId13" w:type="default"/>
      <w:footerReference r:id="rId14"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28.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39"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bullet"/>
      <w:lvlText w:val="●"/>
      <w:lvlJc w:val="left"/>
      <w:pPr>
        <w:ind w:left="2062"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table" w:styleId="TableNormal6" w:customStyle="1">
    <w:name w:val="Table Normal"/>
    <w:tblPr>
      <w:tblCellMar>
        <w:top w:w="0.0" w:type="dxa"/>
        <w:left w:w="0.0" w:type="dxa"/>
        <w:bottom w:w="0.0" w:type="dxa"/>
        <w:right w:w="0.0" w:type="dxa"/>
      </w:tblCellMar>
    </w:tblPr>
  </w:style>
  <w:style w:type="table" w:styleId="TableNormal7" w:customStyle="1">
    <w:name w:val="Table Normal"/>
    <w:tblPr>
      <w:tblCellMar>
        <w:top w:w="0.0" w:type="dxa"/>
        <w:left w:w="0.0" w:type="dxa"/>
        <w:bottom w:w="0.0" w:type="dxa"/>
        <w:right w:w="0.0" w:type="dxa"/>
      </w:tblCellMar>
    </w:tblPr>
  </w:style>
  <w:style w:type="table" w:styleId="TableNormal8" w:customStyle="1">
    <w:name w:val="Table Normal"/>
    <w:tblPr>
      <w:tblCellMar>
        <w:top w:w="0.0" w:type="dxa"/>
        <w:left w:w="0.0" w:type="dxa"/>
        <w:bottom w:w="0.0" w:type="dxa"/>
        <w:right w:w="0.0" w:type="dxa"/>
      </w:tblCellMar>
    </w:tblPr>
  </w:style>
  <w:style w:type="table" w:styleId="TableNormal9"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1"/>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table" w:styleId="a" w:customStyle="1">
    <w:basedOn w:val="TableNormal9"/>
    <w:tblPr>
      <w:tblStyleRowBandSize w:val="1"/>
      <w:tblStyleColBandSize w:val="1"/>
    </w:tblPr>
  </w:style>
  <w:style w:type="table" w:styleId="a0" w:customStyle="1">
    <w:basedOn w:val="TableNormal9"/>
    <w:tblPr>
      <w:tblStyleRowBandSize w:val="1"/>
      <w:tblStyleColBandSize w:val="1"/>
    </w:tblPr>
  </w:style>
  <w:style w:type="table" w:styleId="a1" w:customStyle="1">
    <w:basedOn w:val="TableNormal9"/>
    <w:tblPr>
      <w:tblStyleRowBandSize w:val="1"/>
      <w:tblStyleColBandSize w:val="1"/>
    </w:tblPr>
  </w:style>
  <w:style w:type="table" w:styleId="a2" w:customStyle="1">
    <w:basedOn w:val="TableNormal9"/>
    <w:tblPr>
      <w:tblStyleRowBandSize w:val="1"/>
      <w:tblStyleColBandSize w:val="1"/>
    </w:tblPr>
  </w:style>
  <w:style w:type="table" w:styleId="a3" w:customStyle="1">
    <w:basedOn w:val="TableNormal9"/>
    <w:tblPr>
      <w:tblStyleRowBandSize w:val="1"/>
      <w:tblStyleColBandSize w:val="1"/>
    </w:tblPr>
  </w:style>
  <w:style w:type="table" w:styleId="a4" w:customStyle="1">
    <w:basedOn w:val="TableNormal9"/>
    <w:tblPr>
      <w:tblStyleRowBandSize w:val="1"/>
      <w:tblStyleColBandSize w:val="1"/>
    </w:tblPr>
  </w:style>
  <w:style w:type="table" w:styleId="a5" w:customStyle="1">
    <w:basedOn w:val="TableNormal9"/>
    <w:tblPr>
      <w:tblStyleRowBandSize w:val="1"/>
      <w:tblStyleColBandSize w:val="1"/>
    </w:tblPr>
  </w:style>
  <w:style w:type="table" w:styleId="a6" w:customStyle="1">
    <w:basedOn w:val="TableNormal9"/>
    <w:tblPr>
      <w:tblStyleRowBandSize w:val="1"/>
      <w:tblStyleColBandSize w:val="1"/>
    </w:tblPr>
  </w:style>
  <w:style w:type="table" w:styleId="a7" w:customStyle="1">
    <w:basedOn w:val="TableNormal9"/>
    <w:tblPr>
      <w:tblStyleRowBandSize w:val="1"/>
      <w:tblStyleColBandSize w:val="1"/>
    </w:tblPr>
  </w:style>
  <w:style w:type="table" w:styleId="a8" w:customStyle="1">
    <w:basedOn w:val="TableNormal9"/>
    <w:tblPr>
      <w:tblStyleRowBandSize w:val="1"/>
      <w:tblStyleColBandSize w:val="1"/>
    </w:tblPr>
  </w:style>
  <w:style w:type="table" w:styleId="a9" w:customStyle="1">
    <w:basedOn w:val="TableNormal9"/>
    <w:tblPr>
      <w:tblStyleRowBandSize w:val="1"/>
      <w:tblStyleColBandSize w:val="1"/>
    </w:tblPr>
  </w:style>
  <w:style w:type="table" w:styleId="aa" w:customStyle="1">
    <w:basedOn w:val="TableNormal9"/>
    <w:tblPr>
      <w:tblStyleRowBandSize w:val="1"/>
      <w:tblStyleColBandSize w:val="1"/>
    </w:tblPr>
  </w:style>
  <w:style w:type="table" w:styleId="ab" w:customStyle="1">
    <w:basedOn w:val="TableNormal9"/>
    <w:tblPr>
      <w:tblStyleRowBandSize w:val="1"/>
      <w:tblStyleColBandSize w:val="1"/>
    </w:tblPr>
  </w:style>
  <w:style w:type="table" w:styleId="ac" w:customStyle="1">
    <w:basedOn w:val="TableNormal9"/>
    <w:tblPr>
      <w:tblStyleRowBandSize w:val="1"/>
      <w:tblStyleColBandSize w:val="1"/>
    </w:tblPr>
  </w:style>
  <w:style w:type="table" w:styleId="ad" w:customStyle="1">
    <w:basedOn w:val="TableNormal9"/>
    <w:tblPr>
      <w:tblStyleRowBandSize w:val="1"/>
      <w:tblStyleColBandSize w:val="1"/>
    </w:tblPr>
  </w:style>
  <w:style w:type="table" w:styleId="ae" w:customStyle="1">
    <w:basedOn w:val="TableNormal9"/>
    <w:tblPr>
      <w:tblStyleRowBandSize w:val="1"/>
      <w:tblStyleColBandSize w:val="1"/>
    </w:tblPr>
  </w:style>
  <w:style w:type="table" w:styleId="af" w:customStyle="1">
    <w:basedOn w:val="TableNormal9"/>
    <w:tblPr>
      <w:tblStyleRowBandSize w:val="1"/>
      <w:tblStyleColBandSize w:val="1"/>
    </w:tblPr>
  </w:style>
  <w:style w:type="table" w:styleId="af0" w:customStyle="1">
    <w:basedOn w:val="TableNormal9"/>
    <w:tblPr>
      <w:tblStyleRowBandSize w:val="1"/>
      <w:tblStyleColBandSize w:val="1"/>
    </w:tblPr>
  </w:style>
  <w:style w:type="table" w:styleId="af1" w:customStyle="1">
    <w:basedOn w:val="TableNormal9"/>
    <w:tblPr>
      <w:tblStyleRowBandSize w:val="1"/>
      <w:tblStyleColBandSize w:val="1"/>
    </w:tblPr>
  </w:style>
  <w:style w:type="table" w:styleId="af2" w:customStyle="1">
    <w:basedOn w:val="TableNormal9"/>
    <w:tblPr>
      <w:tblStyleRowBandSize w:val="1"/>
      <w:tblStyleColBandSize w:val="1"/>
    </w:tblPr>
  </w:style>
  <w:style w:type="table" w:styleId="af3" w:customStyle="1">
    <w:basedOn w:val="TableNormal9"/>
    <w:tblPr>
      <w:tblStyleRowBandSize w:val="1"/>
      <w:tblStyleColBandSize w:val="1"/>
    </w:tblPr>
  </w:style>
  <w:style w:type="table" w:styleId="af4" w:customStyle="1">
    <w:basedOn w:val="TableNormal9"/>
    <w:tblPr>
      <w:tblStyleRowBandSize w:val="1"/>
      <w:tblStyleColBandSize w:val="1"/>
    </w:tblPr>
  </w:style>
  <w:style w:type="table" w:styleId="af5" w:customStyle="1">
    <w:basedOn w:val="TableNormal9"/>
    <w:tblPr>
      <w:tblStyleRowBandSize w:val="1"/>
      <w:tblStyleColBandSize w:val="1"/>
    </w:tblPr>
  </w:style>
  <w:style w:type="table" w:styleId="af6" w:customStyle="1">
    <w:basedOn w:val="TableNormal9"/>
    <w:tblPr>
      <w:tblStyleRowBandSize w:val="1"/>
      <w:tblStyleColBandSize w:val="1"/>
    </w:tblPr>
  </w:style>
  <w:style w:type="table" w:styleId="af7" w:customStyle="1">
    <w:basedOn w:val="TableNormal9"/>
    <w:tblPr>
      <w:tblStyleRowBandSize w:val="1"/>
      <w:tblStyleColBandSize w:val="1"/>
    </w:tblPr>
  </w:style>
  <w:style w:type="table" w:styleId="af8" w:customStyle="1">
    <w:basedOn w:val="TableNormal9"/>
    <w:tblPr>
      <w:tblStyleRowBandSize w:val="1"/>
      <w:tblStyleColBandSize w:val="1"/>
    </w:tblPr>
  </w:style>
  <w:style w:type="table" w:styleId="af9" w:customStyle="1">
    <w:basedOn w:val="TableNormal9"/>
    <w:tblPr>
      <w:tblStyleRowBandSize w:val="1"/>
      <w:tblStyleColBandSize w:val="1"/>
    </w:tblPr>
  </w:style>
  <w:style w:type="table" w:styleId="afa" w:customStyle="1">
    <w:basedOn w:val="TableNormal9"/>
    <w:tblPr>
      <w:tblStyleRowBandSize w:val="1"/>
      <w:tblStyleColBandSize w:val="1"/>
    </w:tblPr>
  </w:style>
  <w:style w:type="table" w:styleId="afb" w:customStyle="1">
    <w:basedOn w:val="TableNormal9"/>
    <w:tblPr>
      <w:tblStyleRowBandSize w:val="1"/>
      <w:tblStyleColBandSize w:val="1"/>
    </w:tblPr>
  </w:style>
  <w:style w:type="table" w:styleId="afc" w:customStyle="1">
    <w:basedOn w:val="TableNormal9"/>
    <w:tblPr>
      <w:tblStyleRowBandSize w:val="1"/>
      <w:tblStyleColBandSize w:val="1"/>
    </w:tblPr>
  </w:style>
  <w:style w:type="table" w:styleId="afd" w:customStyle="1">
    <w:basedOn w:val="TableNormal9"/>
    <w:tblPr>
      <w:tblStyleRowBandSize w:val="1"/>
      <w:tblStyleColBandSize w:val="1"/>
    </w:tblPr>
  </w:style>
  <w:style w:type="table" w:styleId="afe" w:customStyle="1">
    <w:basedOn w:val="TableNormal9"/>
    <w:tblPr>
      <w:tblStyleRowBandSize w:val="1"/>
      <w:tblStyleColBandSize w:val="1"/>
    </w:tblPr>
  </w:style>
  <w:style w:type="table" w:styleId="aff" w:customStyle="1">
    <w:basedOn w:val="TableNormal9"/>
    <w:tblPr>
      <w:tblStyleRowBandSize w:val="1"/>
      <w:tblStyleColBandSize w:val="1"/>
    </w:tblPr>
  </w:style>
  <w:style w:type="table" w:styleId="aff0" w:customStyle="1">
    <w:basedOn w:val="TableNormal9"/>
    <w:tblPr>
      <w:tblStyleRowBandSize w:val="1"/>
      <w:tblStyleColBandSize w:val="1"/>
    </w:tblPr>
  </w:style>
  <w:style w:type="table" w:styleId="aff1" w:customStyle="1">
    <w:basedOn w:val="TableNormal9"/>
    <w:tblPr>
      <w:tblStyleRowBandSize w:val="1"/>
      <w:tblStyleColBandSize w:val="1"/>
    </w:tblPr>
  </w:style>
  <w:style w:type="table" w:styleId="aff2" w:customStyle="1">
    <w:basedOn w:val="TableNormal9"/>
    <w:tblPr>
      <w:tblStyleRowBandSize w:val="1"/>
      <w:tblStyleColBandSize w:val="1"/>
    </w:tblPr>
  </w:style>
  <w:style w:type="table" w:styleId="aff3" w:customStyle="1">
    <w:basedOn w:val="TableNormal1"/>
    <w:tblPr>
      <w:tblStyleRowBandSize w:val="1"/>
      <w:tblStyleColBandSize w:val="1"/>
    </w:tblPr>
  </w:style>
  <w:style w:type="table" w:styleId="aff4" w:customStyle="1">
    <w:basedOn w:val="TableNormal1"/>
    <w:tblPr>
      <w:tblStyleRowBandSize w:val="1"/>
      <w:tblStyleColBandSize w:val="1"/>
    </w:tblPr>
  </w:style>
  <w:style w:type="table" w:styleId="aff5" w:customStyle="1">
    <w:basedOn w:val="TableNormal1"/>
    <w:tblPr>
      <w:tblStyleRowBandSize w:val="1"/>
      <w:tblStyleColBandSize w:val="1"/>
    </w:tblPr>
  </w:style>
  <w:style w:type="table" w:styleId="aff6" w:customStyle="1">
    <w:basedOn w:val="TableNormal1"/>
    <w:tblPr>
      <w:tblStyleRowBandSize w:val="1"/>
      <w:tblStyleColBandSize w:val="1"/>
    </w:tblPr>
  </w:style>
  <w:style w:type="paragraph" w:styleId="NormalWeb">
    <w:name w:val="Normal (Web)"/>
    <w:basedOn w:val="Normal"/>
    <w:uiPriority w:val="99"/>
    <w:unhideWhenUsed w:val="1"/>
    <w:rsid w:val="00C05595"/>
    <w:pPr>
      <w:spacing w:after="100" w:afterAutospacing="1" w:before="100" w:beforeAutospacing="1"/>
    </w:pPr>
    <w:rPr>
      <w:sz w:val="24"/>
      <w:szCs w:val="24"/>
    </w:rPr>
  </w:style>
  <w:style w:type="character" w:styleId="Textoennegrita">
    <w:name w:val="Strong"/>
    <w:basedOn w:val="Fuentedeprrafopredeter"/>
    <w:uiPriority w:val="22"/>
    <w:qFormat w:val="1"/>
    <w:rsid w:val="00BD51EE"/>
    <w:rPr>
      <w:b w:val="1"/>
      <w:bCs w:val="1"/>
    </w:rPr>
  </w:style>
  <w:style w:type="character" w:styleId="nfasis">
    <w:name w:val="Emphasis"/>
    <w:basedOn w:val="Fuentedeprrafopredeter"/>
    <w:uiPriority w:val="20"/>
    <w:qFormat w:val="1"/>
    <w:rsid w:val="00FC3609"/>
    <w:rPr>
      <w:i w:val="1"/>
      <w:iCs w:val="1"/>
    </w:rPr>
  </w:style>
  <w:style w:type="character" w:styleId="Mencinsinresolver1" w:customStyle="1">
    <w:name w:val="Mención sin resolver1"/>
    <w:basedOn w:val="Fuentedeprrafopredeter"/>
    <w:uiPriority w:val="99"/>
    <w:semiHidden w:val="1"/>
    <w:unhideWhenUsed w:val="1"/>
    <w:rsid w:val="004D40C7"/>
    <w:rPr>
      <w:color w:val="605e5c"/>
      <w:shd w:color="auto" w:fill="e1dfdd" w:val="clear"/>
    </w:rPr>
  </w:style>
  <w:style w:type="table" w:styleId="aff7" w:customStyle="1">
    <w:basedOn w:val="TableNormal0"/>
    <w:tblPr>
      <w:tblStyleRowBandSize w:val="1"/>
      <w:tblStyleColBandSize w:val="1"/>
    </w:tblPr>
  </w:style>
  <w:style w:type="table" w:styleId="aff8" w:customStyle="1">
    <w:basedOn w:val="TableNormal0"/>
    <w:tblPr>
      <w:tblStyleRowBandSize w:val="1"/>
      <w:tblStyleColBandSize w:val="1"/>
    </w:tblPr>
  </w:style>
  <w:style w:type="table" w:styleId="aff9" w:customStyle="1">
    <w:basedOn w:val="TableNormal0"/>
    <w:tblPr>
      <w:tblStyleRowBandSize w:val="1"/>
      <w:tblStyleColBandSize w:val="1"/>
    </w:tblPr>
  </w:style>
  <w:style w:type="table" w:styleId="affa" w:customStyle="1">
    <w:basedOn w:val="TableNormal0"/>
    <w:tblPr>
      <w:tblStyleRowBandSize w:val="1"/>
      <w:tblStyleColBandSize w:val="1"/>
    </w:tblPr>
  </w:style>
  <w:style w:type="character" w:styleId="Mencinsinresolver">
    <w:name w:val="Unresolved Mention"/>
    <w:basedOn w:val="Fuentedeprrafopredeter"/>
    <w:uiPriority w:val="99"/>
    <w:semiHidden w:val="1"/>
    <w:unhideWhenUsed w:val="1"/>
    <w:rsid w:val="00D63168"/>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DWEytPGGaQnDXZrzkiLBmibL68Ybs8CZ" TargetMode="External"/><Relationship Id="rId10" Type="http://schemas.openxmlformats.org/officeDocument/2006/relationships/hyperlink" Target="https://www.instagram.com/reel/DRseogjkQ5X/?igsh=MWtodzF6NTA1aXp5cQ==" TargetMode="External"/><Relationship Id="rId13" Type="http://schemas.openxmlformats.org/officeDocument/2006/relationships/header" Target="header1.xml"/><Relationship Id="rId12" Type="http://schemas.openxmlformats.org/officeDocument/2006/relationships/image" Target="media/image2.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stagram.com/reel/DRkeiA2Dgh-/?igsh=dTN3aXNyNDZzM21x"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s://www.instagram.com/reel/DRftlzZjgFM/?igsh=MWkya3dhMTN5NTJuc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Z/2VqeQm4gtngvGylnCnxfavzg==">CgMxLjAyCGguZ2pkZ3hzOAByITFFaWdGOWl3OEJiYkZYME5NMmstR3ZIek1ndjNVTDZCdQ==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2025-11-21T23:16:00Z</dcterms:created>
  <dc:creator>LEYDHER</dc:creator>
</cp:coreProperties>
</file>